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shd w:val="clear" w:color="auto" w:fill="ffffff"/>
        <w:tabs>
          <w:tab w:val="left" w:pos="1242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es-ES_tradnl"/>
        </w:rPr>
        <w:t>COMUNICAT DE PRES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 xml:space="preserve">Ă </w:t>
      </w:r>
    </w:p>
    <w:p>
      <w:pPr>
        <w:pStyle w:val="Corp"/>
        <w:shd w:val="clear" w:color="auto" w:fill="ffffff"/>
        <w:tabs>
          <w:tab w:val="left" w:pos="1242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</w:rPr>
        <w:t>T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Â</w:t>
      </w:r>
      <w:r>
        <w:rPr>
          <w:rFonts w:ascii="Tahoma" w:hAnsi="Tahoma"/>
          <w:b w:val="1"/>
          <w:bCs w:val="1"/>
          <w:sz w:val="28"/>
          <w:szCs w:val="28"/>
          <w:rtl w:val="0"/>
          <w:lang w:val="es-ES_tradnl"/>
        </w:rPr>
        <w:t>RGUL LOCURILOR DE MUNC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Ă Ș</w:t>
      </w:r>
      <w:r>
        <w:rPr>
          <w:rFonts w:ascii="Tahoma" w:hAnsi="Tahoma"/>
          <w:b w:val="1"/>
          <w:bCs w:val="1"/>
          <w:sz w:val="28"/>
          <w:szCs w:val="28"/>
          <w:rtl w:val="0"/>
          <w:lang w:val="es-ES_tradnl"/>
        </w:rPr>
        <w:t xml:space="preserve">I DE ORIENTARE 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Î</w:t>
      </w:r>
      <w:r>
        <w:rPr>
          <w:rFonts w:ascii="Tahoma" w:hAnsi="Tahoma"/>
          <w:b w:val="1"/>
          <w:bCs w:val="1"/>
          <w:sz w:val="28"/>
          <w:szCs w:val="28"/>
          <w:rtl w:val="0"/>
          <w:lang w:val="es-ES_tradnl"/>
        </w:rPr>
        <w:t>N CARIER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Ă</w:t>
      </w:r>
    </w:p>
    <w:p>
      <w:pPr>
        <w:pStyle w:val="Corp"/>
        <w:shd w:val="clear" w:color="auto" w:fill="ffffff"/>
        <w:tabs>
          <w:tab w:val="left" w:pos="1242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</w:rPr>
        <w:t>4-5 mai 2022</w:t>
      </w:r>
    </w:p>
    <w:p>
      <w:pPr>
        <w:pStyle w:val="Corp"/>
        <w:shd w:val="clear" w:color="auto" w:fill="ffffff"/>
        <w:tabs>
          <w:tab w:val="left" w:pos="1242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</w:rPr>
        <w:t>Cetatea Oradea</w:t>
      </w:r>
    </w:p>
    <w:p>
      <w:pPr>
        <w:pStyle w:val="yiv4376180478ydp90fb0117msonospacing"/>
        <w:ind w:firstLine="720"/>
        <w:jc w:val="both"/>
        <w:rPr>
          <w:rStyle w:val="yiv4376180478ydp90fb0117textexposedshow"/>
          <w:rFonts w:ascii="Calibri" w:cs="Calibri" w:hAnsi="Calibri" w:eastAsia="Calibri"/>
          <w:sz w:val="22"/>
          <w:szCs w:val="22"/>
        </w:rPr>
      </w:pPr>
    </w:p>
    <w:p>
      <w:pPr>
        <w:pStyle w:val="yiv4376180478ydp90fb0117msonospacing"/>
        <w:ind w:firstLine="72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 perioada 4-5 mai 2022,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Cetatea Oradea, se va desf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ura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„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â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rgul locurilor de munc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 ş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 de orientare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carier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ă”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cadrul proiectului ,,Re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ea transfrontalier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pentru sus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inerea dezvolt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rii carierei profesionale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regiunea de grani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ță 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CAREER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- cod ROHU 331, finan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at prin Programul Interreg V-A Rom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â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nia-Ungaria. Aflat la a doua edi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ie, evenimentul de anvergur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este organizat de Agen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ia Jude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ean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pentru Ocuparea For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ei de Munc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Bihor (AJOFM),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 colaborare cu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Inspectoratul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colar Jude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ean Bihor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(ISJ).</w:t>
      </w:r>
    </w:p>
    <w:p>
      <w:pPr>
        <w:pStyle w:val="yiv4376180478ydp90fb0117msonospacing"/>
        <w:ind w:firstLine="72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"Am pornit de la premisa 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 pentru a face fa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ță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cerin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elor de pe pia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 muncii, to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 tinerii au nevoie de orientare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carier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astfel 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evenimentul nostru se adreseaz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primul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â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nd, tinerilor, dar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cadrelor didactice,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rin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ilor, angajatorilor din jude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ul Bihor,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colilor, universit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ilor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actorilor principali de pe pia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 muncii. Vrem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-i familiariz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m pe tineri,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rin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i, profesori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pe to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cei interesa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de dezvoltarea carierei profesionale, indiferent 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se afl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la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nceput de carier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profesional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sau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ntr-un moment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care doresc o reorientare profesional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 cu locurile de munc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 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profesiile 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utate ast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zi pe pia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 muncii din regiune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con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tientizeze competen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ele necesare unei meserii. De asemenea, vrem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le prezent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m oferta educa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ional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prin care pot fi ob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inute aceste competen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 procesul tehnologic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diferite domenii de activitate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”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 a declarat 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si Csaba, directorul executiv al AJOFM Bihor.</w:t>
      </w:r>
    </w:p>
    <w:p>
      <w:pPr>
        <w:pStyle w:val="yiv4376180478ydp90fb0117msonospacing"/>
        <w:ind w:firstLine="72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rgul locurilor de munc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de orientare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carier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ă”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reprezint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continuare, o premier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Rom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nia, mai ales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ceea ce prive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 nivelul de organizare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num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rul participan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ilor. Evenimentul a fost organizat pentru prima dat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octombrie 2019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Cetatea Oradea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a avut un num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 de aproximativ 110 expozan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peste 6800 de vizitatori.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La aceast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edi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ie a 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rgului vor participa peste 80 de expozan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i: 50 de companii care,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 plus fa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ță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 locurile de munc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disponibile la momentul organiz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rii evenimentului,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îș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asum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rolul de a prezenta participan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ilor la acest eveniment procedurile de lucru pe care le folosesc,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peste 20 de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universit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ăț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institu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ii de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nv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ăță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, ce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îș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vor expune oferta educa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ional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, precum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entit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ăț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 publice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cei mai importan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furnizori de formare profesional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yiv4376180478ydp90fb0117msonospacing"/>
        <w:ind w:firstLine="72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”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rgul nostru vor participa peste 3.000 de elevi, profesori, public interesat, expozan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 durata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ntregului eveniment,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intervalul orar 8.00-17.00, avem un program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prestabilit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pentru ca participan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s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aib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suficient timp la dispozi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ie pentru a experimenta tot ceea ce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doresc, iar angaja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AJOFM  Bihor s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-i poat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ndruma pe parcursul acestei experien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e. Participan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vor fi prelua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de c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 un consilier din cadrul agen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iei,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nc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 la intrare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vor fi informa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cu privire la eveniment. Apoi, vor vizita standurile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expozi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ionale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Asigur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 zon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care se vor aplica teste de orientare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carier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 care le vom interpreta pe loc. De asemenea, din or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or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se va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ine c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 un workshop interactiv, la care ei vor putea participa. La plecare, participan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vor fi ruga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s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completeze un chestionar simplu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prietenos, care s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ă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 ajute pe noi s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mbun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ăț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 viitoarele evenimente de aceasta anvergur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ă”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 explicat directorul AJOFM Bihor. </w:t>
      </w:r>
    </w:p>
    <w:p>
      <w:pPr>
        <w:pStyle w:val="yiv4376180478ydp90fb0117msonospacing"/>
        <w:ind w:firstLine="720"/>
        <w:jc w:val="both"/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14:textFill>
            <w14:solidFill>
              <w14:srgbClr w14:val="1C1E21"/>
            </w14:solidFill>
          </w14:textFill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 „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â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rgul locurilor de munc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 ş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 de orientare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carier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este o activitate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cadrul proiectului ,,Re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ea transfrontalier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ă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pentru sus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inerea dezvolt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rii carierei profesionale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regiunea de grani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ță –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CAREER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- cod ROHU 331, finan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ț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at prin Programul Interreg V-A Rom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â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nia-Ungaria. Proiectul este implementat de Societatea Caritabil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ă „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Don Orione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din Oradea,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î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 parteneriat cu AJOFM Bihor, Camera de Comer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ţ ş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Industrie a ju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de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ţ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ului B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k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s (Ungaria), Oficiul Guvernamental B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k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 xml:space="preserve">s 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ş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i Funda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ţ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ia pentru Dezvoltarea Afacerilor din jude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ţ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ul B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k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é</w:t>
      </w:r>
      <w:r>
        <w:rPr>
          <w:rFonts w:ascii="Calibri" w:cs="Calibri" w:hAnsi="Calibri" w:eastAsia="Calibri"/>
          <w:outline w:val="0"/>
          <w:color w:val="1c1e21"/>
          <w:sz w:val="22"/>
          <w:szCs w:val="22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s.</w:t>
      </w:r>
    </w:p>
    <w:p>
      <w:pPr>
        <w:pStyle w:val="Corp"/>
        <w:shd w:val="clear" w:color="auto" w:fill="ffffff"/>
        <w:tabs>
          <w:tab w:val="left" w:pos="1242"/>
        </w:tabs>
        <w:spacing w:line="240" w:lineRule="auto"/>
        <w:rPr>
          <w:rFonts w:ascii="Tahoma" w:cs="Tahoma" w:hAnsi="Tahoma" w:eastAsia="Tahoma"/>
        </w:rPr>
      </w:pPr>
    </w:p>
    <w:p>
      <w:pPr>
        <w:pStyle w:val="Corp"/>
        <w:shd w:val="clear" w:color="auto" w:fill="ffffff"/>
        <w:tabs>
          <w:tab w:val="left" w:pos="1242"/>
        </w:tabs>
        <w:spacing w:line="240" w:lineRule="auto"/>
        <w:jc w:val="both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rtl w:val="0"/>
        </w:rPr>
        <w:t>Programul Interreg V-A Rom</w:t>
      </w:r>
      <w:r>
        <w:rPr>
          <w:rFonts w:ascii="Open Sans" w:cs="Open Sans" w:hAnsi="Open Sans" w:eastAsia="Open Sans"/>
          <w:i w:val="1"/>
          <w:iCs w:val="1"/>
          <w:rtl w:val="0"/>
        </w:rPr>
        <w:t>â</w:t>
      </w:r>
      <w:r>
        <w:rPr>
          <w:rFonts w:ascii="Open Sans" w:cs="Open Sans" w:hAnsi="Open Sans" w:eastAsia="Open Sans"/>
          <w:i w:val="1"/>
          <w:iCs w:val="1"/>
          <w:rtl w:val="0"/>
        </w:rPr>
        <w:t>nia-Ungaria este destinat finan</w:t>
      </w:r>
      <w:r>
        <w:rPr>
          <w:rFonts w:ascii="Open Sans" w:cs="Open Sans" w:hAnsi="Open Sans" w:eastAsia="Open Sans"/>
          <w:i w:val="1"/>
          <w:iCs w:val="1"/>
          <w:rtl w:val="0"/>
        </w:rPr>
        <w:t>ță</w:t>
      </w:r>
      <w:r>
        <w:rPr>
          <w:rFonts w:ascii="Open Sans" w:cs="Open Sans" w:hAnsi="Open Sans" w:eastAsia="Open Sans"/>
          <w:i w:val="1"/>
          <w:iCs w:val="1"/>
          <w:rtl w:val="0"/>
        </w:rPr>
        <w:t>rii unor proiecte comune rom</w:t>
      </w:r>
      <w:r>
        <w:rPr>
          <w:rFonts w:ascii="Open Sans" w:cs="Open Sans" w:hAnsi="Open Sans" w:eastAsia="Open Sans"/>
          <w:i w:val="1"/>
          <w:iCs w:val="1"/>
          <w:rtl w:val="0"/>
        </w:rPr>
        <w:t>â</w:t>
      </w:r>
      <w:r>
        <w:rPr>
          <w:rFonts w:ascii="Open Sans" w:cs="Open Sans" w:hAnsi="Open Sans" w:eastAsia="Open Sans"/>
          <w:i w:val="1"/>
          <w:iCs w:val="1"/>
          <w:rtl w:val="0"/>
        </w:rPr>
        <w:t>no-ungare, care abordeaz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nevoi identificate pe ambele laturi ale grani</w:t>
      </w:r>
      <w:r>
        <w:rPr>
          <w:rFonts w:ascii="Open Sans" w:cs="Open Sans" w:hAnsi="Open Sans" w:eastAsia="Open Sans"/>
          <w:i w:val="1"/>
          <w:iCs w:val="1"/>
          <w:rtl w:val="0"/>
        </w:rPr>
        <w:t>ț</w:t>
      </w:r>
      <w:r>
        <w:rPr>
          <w:rFonts w:ascii="Open Sans" w:cs="Open Sans" w:hAnsi="Open Sans" w:eastAsia="Open Sans"/>
          <w:i w:val="1"/>
          <w:iCs w:val="1"/>
          <w:rtl w:val="0"/>
          <w:lang w:val="de-DE"/>
        </w:rPr>
        <w:t xml:space="preserve">ei </w:t>
      </w:r>
      <w:r>
        <w:rPr>
          <w:rFonts w:ascii="Open Sans" w:cs="Open Sans" w:hAnsi="Open Sans" w:eastAsia="Open Sans"/>
          <w:i w:val="1"/>
          <w:iCs w:val="1"/>
          <w:rtl w:val="0"/>
        </w:rPr>
        <w:t>ş</w:t>
      </w:r>
      <w:r>
        <w:rPr>
          <w:rFonts w:ascii="Open Sans" w:cs="Open Sans" w:hAnsi="Open Sans" w:eastAsia="Open Sans"/>
          <w:i w:val="1"/>
          <w:iCs w:val="1"/>
          <w:rtl w:val="0"/>
        </w:rPr>
        <w:t>i care necesit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  <w:lang w:val="it-IT"/>
        </w:rPr>
        <w:t>o abordare comun</w:t>
      </w:r>
      <w:r>
        <w:rPr>
          <w:rFonts w:ascii="Open Sans" w:cs="Open Sans" w:hAnsi="Open Sans" w:eastAsia="Open Sans"/>
          <w:i w:val="1"/>
          <w:iCs w:val="1"/>
          <w:rtl w:val="0"/>
        </w:rPr>
        <w:t>ă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, precum </w:t>
      </w:r>
      <w:r>
        <w:rPr>
          <w:rFonts w:ascii="Open Sans" w:cs="Open Sans" w:hAnsi="Open Sans" w:eastAsia="Open Sans"/>
          <w:i w:val="1"/>
          <w:iCs w:val="1"/>
          <w:rtl w:val="0"/>
        </w:rPr>
        <w:t>ş</w:t>
      </w:r>
      <w:r>
        <w:rPr>
          <w:rFonts w:ascii="Open Sans" w:cs="Open Sans" w:hAnsi="Open Sans" w:eastAsia="Open Sans"/>
          <w:i w:val="1"/>
          <w:iCs w:val="1"/>
          <w:rtl w:val="0"/>
          <w:lang w:val="it-IT"/>
        </w:rPr>
        <w:t>i solu</w:t>
      </w:r>
      <w:r>
        <w:rPr>
          <w:rFonts w:ascii="Open Sans" w:cs="Open Sans" w:hAnsi="Open Sans" w:eastAsia="Open Sans"/>
          <w:i w:val="1"/>
          <w:iCs w:val="1"/>
          <w:rtl w:val="0"/>
        </w:rPr>
        <w:t>ț</w:t>
      </w:r>
      <w:r>
        <w:rPr>
          <w:rFonts w:ascii="Open Sans" w:cs="Open Sans" w:hAnsi="Open Sans" w:eastAsia="Open Sans"/>
          <w:i w:val="1"/>
          <w:iCs w:val="1"/>
          <w:rtl w:val="0"/>
        </w:rPr>
        <w:t>ii inovative, contribuind astfel la dezvoltarea sustenabil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a zonei eligibile. Programul este o continuare a programelor de cooperare transfrontalier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  <w:lang w:val="fr-FR"/>
        </w:rPr>
        <w:t xml:space="preserve">implementate </w:t>
      </w:r>
      <w:r>
        <w:rPr>
          <w:rFonts w:ascii="Open Sans" w:cs="Open Sans" w:hAnsi="Open Sans" w:eastAsia="Open Sans"/>
          <w:i w:val="1"/>
          <w:iCs w:val="1"/>
          <w:rtl w:val="0"/>
        </w:rPr>
        <w:t>î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n regiune </w:t>
      </w:r>
      <w:r>
        <w:rPr>
          <w:rFonts w:ascii="Open Sans" w:cs="Open Sans" w:hAnsi="Open Sans" w:eastAsia="Open Sans"/>
          <w:i w:val="1"/>
          <w:iCs w:val="1"/>
          <w:rtl w:val="0"/>
        </w:rPr>
        <w:t>ş</w:t>
      </w:r>
      <w:r>
        <w:rPr>
          <w:rFonts w:ascii="Open Sans" w:cs="Open Sans" w:hAnsi="Open Sans" w:eastAsia="Open Sans"/>
          <w:i w:val="1"/>
          <w:iCs w:val="1"/>
          <w:rtl w:val="0"/>
        </w:rPr>
        <w:t>i dispune de un buget total de aproximativ 232 milioane euro, din care, 189 milioane de euro, reprezint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finan</w:t>
      </w:r>
      <w:r>
        <w:rPr>
          <w:rFonts w:ascii="Open Sans" w:cs="Open Sans" w:hAnsi="Open Sans" w:eastAsia="Open Sans"/>
          <w:i w:val="1"/>
          <w:iCs w:val="1"/>
          <w:rtl w:val="0"/>
        </w:rPr>
        <w:t>ţ</w:t>
      </w:r>
      <w:r>
        <w:rPr>
          <w:rFonts w:ascii="Open Sans" w:cs="Open Sans" w:hAnsi="Open Sans" w:eastAsia="Open Sans"/>
          <w:i w:val="1"/>
          <w:iCs w:val="1"/>
          <w:rtl w:val="0"/>
        </w:rPr>
        <w:t>area nerambursabil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din Fondul European de Dezvoltare Regional</w:t>
      </w:r>
      <w:r>
        <w:rPr>
          <w:rFonts w:ascii="Open Sans" w:cs="Open Sans" w:hAnsi="Open Sans" w:eastAsia="Open Sans"/>
          <w:i w:val="1"/>
          <w:iCs w:val="1"/>
          <w:rtl w:val="0"/>
        </w:rPr>
        <w:t>ă</w:t>
      </w:r>
      <w:r>
        <w:rPr>
          <w:rFonts w:ascii="Open Sans" w:cs="Open Sans" w:hAnsi="Open Sans" w:eastAsia="Open Sans"/>
          <w:i w:val="1"/>
          <w:iCs w:val="1"/>
          <w:rtl w:val="0"/>
        </w:rPr>
        <w:t>. Zona eligibil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a programului cuprinde jude</w:t>
      </w:r>
      <w:r>
        <w:rPr>
          <w:rFonts w:ascii="Open Sans" w:cs="Open Sans" w:hAnsi="Open Sans" w:eastAsia="Open Sans"/>
          <w:i w:val="1"/>
          <w:iCs w:val="1"/>
          <w:rtl w:val="0"/>
        </w:rPr>
        <w:t>ţ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ele Arad, Bihor, Satu Mare </w:t>
      </w:r>
      <w:r>
        <w:rPr>
          <w:rFonts w:ascii="Open Sans" w:cs="Open Sans" w:hAnsi="Open Sans" w:eastAsia="Open Sans"/>
          <w:i w:val="1"/>
          <w:iCs w:val="1"/>
          <w:rtl w:val="0"/>
        </w:rPr>
        <w:t>ş</w:t>
      </w:r>
      <w:r>
        <w:rPr>
          <w:rFonts w:ascii="Open Sans" w:cs="Open Sans" w:hAnsi="Open Sans" w:eastAsia="Open Sans"/>
          <w:i w:val="1"/>
          <w:iCs w:val="1"/>
          <w:rtl w:val="0"/>
        </w:rPr>
        <w:t>i Timi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ş </w:t>
      </w:r>
      <w:r>
        <w:rPr>
          <w:rFonts w:ascii="Open Sans" w:cs="Open Sans" w:hAnsi="Open Sans" w:eastAsia="Open Sans"/>
          <w:i w:val="1"/>
          <w:iCs w:val="1"/>
          <w:rtl w:val="0"/>
        </w:rPr>
        <w:t>pe partea rom</w:t>
      </w:r>
      <w:r>
        <w:rPr>
          <w:rFonts w:ascii="Open Sans" w:cs="Open Sans" w:hAnsi="Open Sans" w:eastAsia="Open Sans"/>
          <w:i w:val="1"/>
          <w:iCs w:val="1"/>
          <w:rtl w:val="0"/>
        </w:rPr>
        <w:t>â</w:t>
      </w:r>
      <w:r>
        <w:rPr>
          <w:rFonts w:ascii="Open Sans" w:cs="Open Sans" w:hAnsi="Open Sans" w:eastAsia="Open Sans"/>
          <w:i w:val="1"/>
          <w:iCs w:val="1"/>
          <w:rtl w:val="0"/>
        </w:rPr>
        <w:t>n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a grani</w:t>
      </w:r>
      <w:r>
        <w:rPr>
          <w:rFonts w:ascii="Open Sans" w:cs="Open Sans" w:hAnsi="Open Sans" w:eastAsia="Open Sans"/>
          <w:i w:val="1"/>
          <w:iCs w:val="1"/>
          <w:rtl w:val="0"/>
        </w:rPr>
        <w:t>ț</w:t>
      </w:r>
      <w:r>
        <w:rPr>
          <w:rFonts w:ascii="Open Sans" w:cs="Open Sans" w:hAnsi="Open Sans" w:eastAsia="Open Sans"/>
          <w:i w:val="1"/>
          <w:iCs w:val="1"/>
          <w:rtl w:val="0"/>
          <w:lang w:val="de-DE"/>
        </w:rPr>
        <w:t xml:space="preserve">ei </w:t>
      </w:r>
      <w:r>
        <w:rPr>
          <w:rFonts w:ascii="Open Sans" w:cs="Open Sans" w:hAnsi="Open Sans" w:eastAsia="Open Sans"/>
          <w:i w:val="1"/>
          <w:iCs w:val="1"/>
          <w:rtl w:val="0"/>
        </w:rPr>
        <w:t>ş</w:t>
      </w:r>
      <w:r>
        <w:rPr>
          <w:rFonts w:ascii="Open Sans" w:cs="Open Sans" w:hAnsi="Open Sans" w:eastAsia="Open Sans"/>
          <w:i w:val="1"/>
          <w:iCs w:val="1"/>
          <w:rtl w:val="0"/>
        </w:rPr>
        <w:t>i, respectiv, jude</w:t>
      </w:r>
      <w:r>
        <w:rPr>
          <w:rFonts w:ascii="Open Sans" w:cs="Open Sans" w:hAnsi="Open Sans" w:eastAsia="Open Sans"/>
          <w:i w:val="1"/>
          <w:iCs w:val="1"/>
          <w:rtl w:val="0"/>
        </w:rPr>
        <w:t>ţ</w:t>
      </w:r>
      <w:r>
        <w:rPr>
          <w:rFonts w:ascii="Open Sans" w:cs="Open Sans" w:hAnsi="Open Sans" w:eastAsia="Open Sans"/>
          <w:i w:val="1"/>
          <w:iCs w:val="1"/>
          <w:rtl w:val="0"/>
        </w:rPr>
        <w:t>ele B</w:t>
      </w:r>
      <w:r>
        <w:rPr>
          <w:rFonts w:ascii="Open Sans" w:cs="Open Sans" w:hAnsi="Open Sans" w:eastAsia="Open Sans"/>
          <w:i w:val="1"/>
          <w:iCs w:val="1"/>
          <w:rtl w:val="0"/>
          <w:lang w:val="fr-FR"/>
        </w:rPr>
        <w:t>é</w:t>
      </w:r>
      <w:r>
        <w:rPr>
          <w:rFonts w:ascii="Open Sans" w:cs="Open Sans" w:hAnsi="Open Sans" w:eastAsia="Open Sans"/>
          <w:i w:val="1"/>
          <w:iCs w:val="1"/>
          <w:rtl w:val="0"/>
        </w:rPr>
        <w:t>k</w:t>
      </w:r>
      <w:r>
        <w:rPr>
          <w:rFonts w:ascii="Open Sans" w:cs="Open Sans" w:hAnsi="Open Sans" w:eastAsia="Open Sans"/>
          <w:i w:val="1"/>
          <w:iCs w:val="1"/>
          <w:rtl w:val="0"/>
          <w:lang w:val="fr-FR"/>
        </w:rPr>
        <w:t>é</w:t>
      </w:r>
      <w:r>
        <w:rPr>
          <w:rFonts w:ascii="Open Sans" w:cs="Open Sans" w:hAnsi="Open Sans" w:eastAsia="Open Sans"/>
          <w:i w:val="1"/>
          <w:iCs w:val="1"/>
          <w:rtl w:val="0"/>
        </w:rPr>
        <w:t>s, Csongr</w:t>
      </w:r>
      <w:r>
        <w:rPr>
          <w:rFonts w:ascii="Open Sans" w:cs="Open Sans" w:hAnsi="Open Sans" w:eastAsia="Open Sans"/>
          <w:i w:val="1"/>
          <w:iCs w:val="1"/>
          <w:rtl w:val="0"/>
        </w:rPr>
        <w:t>á</w:t>
      </w:r>
      <w:r>
        <w:rPr>
          <w:rFonts w:ascii="Open Sans" w:cs="Open Sans" w:hAnsi="Open Sans" w:eastAsia="Open Sans"/>
          <w:i w:val="1"/>
          <w:iCs w:val="1"/>
          <w:rtl w:val="0"/>
        </w:rPr>
        <w:t>d, Hajd</w:t>
      </w:r>
      <w:r>
        <w:rPr>
          <w:rFonts w:ascii="Open Sans" w:cs="Open Sans" w:hAnsi="Open Sans" w:eastAsia="Open Sans"/>
          <w:i w:val="1"/>
          <w:iCs w:val="1"/>
          <w:rtl w:val="0"/>
        </w:rPr>
        <w:t>ú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-Bihar </w:t>
      </w:r>
      <w:r>
        <w:rPr>
          <w:rFonts w:ascii="Open Sans" w:cs="Open Sans" w:hAnsi="Open Sans" w:eastAsia="Open Sans"/>
          <w:i w:val="1"/>
          <w:iCs w:val="1"/>
          <w:rtl w:val="0"/>
        </w:rPr>
        <w:t>ș</w:t>
      </w:r>
      <w:r>
        <w:rPr>
          <w:rFonts w:ascii="Open Sans" w:cs="Open Sans" w:hAnsi="Open Sans" w:eastAsia="Open Sans"/>
          <w:i w:val="1"/>
          <w:iCs w:val="1"/>
          <w:rtl w:val="0"/>
        </w:rPr>
        <w:t>i Szabolcs-Szatm</w:t>
      </w:r>
      <w:r>
        <w:rPr>
          <w:rFonts w:ascii="Open Sans" w:cs="Open Sans" w:hAnsi="Open Sans" w:eastAsia="Open Sans"/>
          <w:i w:val="1"/>
          <w:iCs w:val="1"/>
          <w:rtl w:val="0"/>
        </w:rPr>
        <w:t>á</w:t>
      </w:r>
      <w:r>
        <w:rPr>
          <w:rFonts w:ascii="Open Sans" w:cs="Open Sans" w:hAnsi="Open Sans" w:eastAsia="Open Sans"/>
          <w:i w:val="1"/>
          <w:iCs w:val="1"/>
          <w:rtl w:val="0"/>
        </w:rPr>
        <w:t>r-Bereg, pe partea ungar</w:t>
      </w:r>
      <w:r>
        <w:rPr>
          <w:rFonts w:ascii="Open Sans" w:cs="Open Sans" w:hAnsi="Open Sans" w:eastAsia="Open Sans"/>
          <w:i w:val="1"/>
          <w:iCs w:val="1"/>
          <w:rtl w:val="0"/>
        </w:rPr>
        <w:t xml:space="preserve">ă </w:t>
      </w:r>
      <w:r>
        <w:rPr>
          <w:rFonts w:ascii="Open Sans" w:cs="Open Sans" w:hAnsi="Open Sans" w:eastAsia="Open Sans"/>
          <w:i w:val="1"/>
          <w:iCs w:val="1"/>
          <w:rtl w:val="0"/>
        </w:rPr>
        <w:t>a acesteia.</w:t>
      </w:r>
    </w:p>
    <w:p>
      <w:pPr>
        <w:pStyle w:val="Corp"/>
        <w:shd w:val="clear" w:color="auto" w:fill="ffffff"/>
        <w:tabs>
          <w:tab w:val="left" w:pos="1242"/>
        </w:tabs>
        <w:spacing w:line="240" w:lineRule="auto"/>
        <w:jc w:val="both"/>
      </w:pPr>
      <w:r>
        <w:rPr>
          <w:rFonts w:ascii="Tahoma" w:hAnsi="Tahoma"/>
          <w:rtl w:val="0"/>
        </w:rPr>
        <w:t>Con</w:t>
      </w:r>
      <w:r>
        <w:rPr>
          <w:rFonts w:ascii="Tahoma" w:hAnsi="Tahoma" w:hint="default"/>
          <w:rtl w:val="0"/>
        </w:rPr>
        <w:t>ț</w:t>
      </w:r>
      <w:r>
        <w:rPr>
          <w:rFonts w:ascii="Tahoma" w:hAnsi="Tahoma"/>
          <w:rtl w:val="0"/>
        </w:rPr>
        <w:t>inutul acestui material nu reprezint</w:t>
      </w:r>
      <w:r>
        <w:rPr>
          <w:rFonts w:ascii="Tahoma" w:hAnsi="Tahoma" w:hint="default"/>
          <w:rtl w:val="0"/>
        </w:rPr>
        <w:t>ă î</w:t>
      </w:r>
      <w:r>
        <w:rPr>
          <w:rFonts w:ascii="Tahoma" w:hAnsi="Tahoma"/>
          <w:rtl w:val="0"/>
        </w:rPr>
        <w:t>n mod necesar pozi</w:t>
      </w:r>
      <w:r>
        <w:rPr>
          <w:rFonts w:ascii="Tahoma" w:hAnsi="Tahoma" w:hint="default"/>
          <w:rtl w:val="0"/>
        </w:rPr>
        <w:t>ț</w:t>
      </w:r>
      <w:r>
        <w:rPr>
          <w:rFonts w:ascii="Tahoma" w:hAnsi="Tahoma"/>
          <w:rtl w:val="0"/>
          <w:lang w:val="pt-PT"/>
        </w:rPr>
        <w:t>ia oficial</w:t>
      </w:r>
      <w:r>
        <w:rPr>
          <w:rFonts w:ascii="Tahoma" w:hAnsi="Tahoma" w:hint="default"/>
          <w:rtl w:val="0"/>
        </w:rPr>
        <w:t xml:space="preserve">ă </w:t>
      </w:r>
      <w:r>
        <w:rPr>
          <w:rFonts w:ascii="Tahoma" w:hAnsi="Tahoma"/>
          <w:rtl w:val="0"/>
        </w:rPr>
        <w:t>a Uniunii Europene.</w:t>
      </w:r>
    </w:p>
    <w:sectPr>
      <w:headerReference w:type="default" r:id="rId4"/>
      <w:footerReference w:type="default" r:id="rId5"/>
      <w:pgSz w:w="11900" w:h="16840" w:orient="portrait"/>
      <w:pgMar w:top="2127" w:right="1440" w:bottom="1440" w:left="1440" w:header="720" w:footer="62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360"/>
      </w:tabs>
    </w:pPr>
    <w:r>
      <w:rPr>
        <w:rFonts w:ascii="Arial" w:hAnsi="Arial"/>
        <w:outline w:val="0"/>
        <w:color w:val="003399"/>
        <w:sz w:val="24"/>
        <w:szCs w:val="24"/>
        <w:u w:color="003399"/>
        <w:rtl w:val="0"/>
        <w:lang w:val="en-US"/>
        <w14:textFill>
          <w14:solidFill>
            <w14:srgbClr w14:val="003399"/>
          </w14:solidFill>
        </w14:textFill>
      </w:rPr>
      <w:t>Parteneriat pentru un viitor mai bun</w:t>
      <w:tab/>
    </w:r>
    <w:r>
      <w:rPr>
        <w:outline w:val="0"/>
        <w:color w:val="003399"/>
        <w:u w:color="003399"/>
        <w:rtl w:val="0"/>
        <w14:textFill>
          <w14:solidFill>
            <w14:srgbClr w14:val="003399"/>
          </w14:solidFill>
        </w14:textFill>
      </w:rPr>
      <w:tab/>
      <w:t>www.interreg-rohu.eu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360"/>
      </w:tabs>
    </w:pPr>
    <w:r>
      <w:rPr>
        <w:rStyle w:val="yiv4376180478ydp90fb0117textexposedshow"/>
      </w:rPr>
      <w:drawing>
        <wp:inline distT="0" distB="0" distL="0" distR="0">
          <wp:extent cx="5731510" cy="639445"/>
          <wp:effectExtent l="0" t="0" r="0" b="0"/>
          <wp:docPr id="1073741825" name="officeArt object" descr="antet sus_R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ntet sus_RO.wmf" descr="antet sus_RO.w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0"/>
      <w:szCs w:val="20"/>
      <w:u w:val="none" w:color="2f5496"/>
      <w:vertAlign w:val="baseline"/>
      <w:lang w:val="en-US"/>
      <w14:textFill>
        <w14:solidFill>
          <w14:srgbClr w14:val="2F5496"/>
        </w14:solidFill>
      </w14:textFill>
    </w:rPr>
  </w:style>
  <w:style w:type="character" w:styleId="yiv4376180478ydp90fb0117textexposedshow">
    <w:name w:val="yiv4376180478ydp90fb0117textexposedshow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0"/>
      <w:szCs w:val="20"/>
      <w:u w:val="none" w:color="2f5496"/>
      <w:vertAlign w:val="baseline"/>
      <w:lang w:val="en-US"/>
      <w14:textFill>
        <w14:solidFill>
          <w14:srgbClr w14:val="2F5496"/>
        </w14:solidFill>
      </w14:textFill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3399"/>
      <w:spacing w:val="0"/>
      <w:kern w:val="0"/>
      <w:position w:val="0"/>
      <w:sz w:val="22"/>
      <w:szCs w:val="22"/>
      <w:u w:val="none" w:color="003399"/>
      <w:vertAlign w:val="baseline"/>
      <w:lang w:val="es-ES_tradnl"/>
      <w14:textOutline>
        <w14:noFill/>
      </w14:textOutline>
      <w14:textFill>
        <w14:solidFill>
          <w14:srgbClr w14:val="003399"/>
        </w14:solidFill>
      </w14:textFill>
    </w:rPr>
  </w:style>
  <w:style w:type="paragraph" w:styleId="yiv4376180478ydp90fb0117msonospacing">
    <w:name w:val="yiv4376180478ydp90fb0117msonospacing"/>
    <w:next w:val="yiv4376180478ydp90fb0117msono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